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9152DA" w:rsidP="00A75AE8">
      <w:pPr>
        <w:tabs>
          <w:tab w:val="left" w:pos="142"/>
        </w:tabs>
        <w:jc w:val="center"/>
        <w:rPr>
          <w:rFonts w:ascii="Arial" w:hAnsi="Arial" w:cs="Arial"/>
          <w:sz w:val="24"/>
          <w:szCs w:val="24"/>
        </w:rPr>
      </w:pPr>
      <w:r>
        <w:rPr>
          <w:rFonts w:ascii="Arial" w:hAnsi="Arial" w:cs="Arial"/>
          <w:sz w:val="24"/>
          <w:szCs w:val="24"/>
        </w:rPr>
        <w:t xml:space="preserve">London Region </w:t>
      </w:r>
      <w:r w:rsidRPr="009152DA">
        <w:rPr>
          <w:rFonts w:ascii="Arial" w:hAnsi="Arial" w:cs="Arial"/>
          <w:sz w:val="24"/>
          <w:szCs w:val="24"/>
        </w:rPr>
        <w:t>North West</w:t>
      </w:r>
      <w:r w:rsidR="00A75AE8" w:rsidRPr="002649FE">
        <w:rPr>
          <w:rFonts w:ascii="Arial" w:hAnsi="Arial" w:cs="Arial"/>
          <w:sz w:val="24"/>
          <w:szCs w:val="24"/>
        </w:rPr>
        <w:t xml:space="preserve"> Area Team </w:t>
      </w:r>
    </w:p>
    <w:p w:rsidR="00511CF4" w:rsidRPr="002649FE" w:rsidRDefault="009152DA"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1" w:history="1">
        <w:r w:rsidRPr="009152DA">
          <w:rPr>
            <w:rStyle w:val="Hyperlink"/>
            <w:rFonts w:ascii="Arial" w:hAnsi="Arial" w:cs="Arial"/>
          </w:rPr>
          <w:t>england.lon-nw-claims@nhs.net</w:t>
        </w:r>
      </w:hyperlink>
      <w:r>
        <w:rPr>
          <w:b/>
          <w:bCs/>
        </w:rPr>
        <w:t xml:space="preserve"> </w:t>
      </w:r>
      <w:r>
        <w:rPr>
          <w:rFonts w:ascii="Arial" w:hAnsi="Arial" w:cs="Arial"/>
          <w:sz w:val="24"/>
          <w:szCs w:val="24"/>
        </w:rPr>
        <w:t xml:space="preserve"> </w:t>
      </w:r>
      <w:r w:rsidR="00511CF4">
        <w:rPr>
          <w:rFonts w:ascii="Arial" w:hAnsi="Arial" w:cs="Arial"/>
          <w:sz w:val="24"/>
          <w:szCs w:val="24"/>
        </w:rPr>
        <w:t xml:space="preserve"> by no later than 31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proofErr w:type="spellStart"/>
      <w:r w:rsidR="00EA5FC5">
        <w:rPr>
          <w:rFonts w:ascii="Arial" w:hAnsi="Arial" w:cs="Arial"/>
          <w:sz w:val="24"/>
          <w:szCs w:val="24"/>
        </w:rPr>
        <w:t>Townfield</w:t>
      </w:r>
      <w:proofErr w:type="spellEnd"/>
      <w:r w:rsidR="00EA5FC5">
        <w:rPr>
          <w:rFonts w:ascii="Arial" w:hAnsi="Arial" w:cs="Arial"/>
          <w:sz w:val="24"/>
          <w:szCs w:val="24"/>
        </w:rPr>
        <w:t xml:space="preserve"> Doctors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EA5FC5">
        <w:rPr>
          <w:rFonts w:ascii="Arial" w:hAnsi="Arial" w:cs="Arial"/>
          <w:sz w:val="24"/>
          <w:szCs w:val="24"/>
        </w:rPr>
        <w:t>E86018</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Date:</w:t>
      </w:r>
      <w:r w:rsidR="00EA5FC5">
        <w:rPr>
          <w:rFonts w:ascii="Arial" w:hAnsi="Arial" w:cs="Arial"/>
          <w:sz w:val="24"/>
          <w:szCs w:val="24"/>
        </w:rPr>
        <w:t xml:space="preserve"> 17</w:t>
      </w:r>
      <w:r w:rsidR="00EA5FC5" w:rsidRPr="00EA5FC5">
        <w:rPr>
          <w:rFonts w:ascii="Arial" w:hAnsi="Arial" w:cs="Arial"/>
          <w:sz w:val="24"/>
          <w:szCs w:val="24"/>
          <w:vertAlign w:val="superscript"/>
        </w:rPr>
        <w:t>TH</w:t>
      </w:r>
      <w:r w:rsidR="00EA5FC5">
        <w:rPr>
          <w:rFonts w:ascii="Arial" w:hAnsi="Arial" w:cs="Arial"/>
          <w:sz w:val="24"/>
          <w:szCs w:val="24"/>
        </w:rPr>
        <w:t xml:space="preserve"> March 2015</w:t>
      </w:r>
    </w:p>
    <w:p w:rsidR="00A75AE8" w:rsidRDefault="00A75AE8" w:rsidP="00A75AE8">
      <w:pPr>
        <w:tabs>
          <w:tab w:val="left" w:pos="142"/>
        </w:tabs>
        <w:rPr>
          <w:rFonts w:ascii="Arial" w:hAnsi="Arial" w:cs="Arial"/>
          <w:sz w:val="24"/>
          <w:szCs w:val="24"/>
        </w:rPr>
      </w:pP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t>Date:</w:t>
      </w:r>
      <w:r w:rsidR="00DC14BF">
        <w:rPr>
          <w:rFonts w:ascii="Arial" w:hAnsi="Arial" w:cs="Arial"/>
          <w:sz w:val="24"/>
          <w:szCs w:val="24"/>
        </w:rPr>
        <w:t xml:space="preserve">    20.3.2015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F040A6">
              <w:rPr>
                <w:rFonts w:ascii="Arial" w:hAnsi="Arial" w:cs="Arial"/>
                <w:color w:val="auto"/>
                <w:highlight w:val="yellow"/>
              </w:rPr>
              <w:t>YES</w:t>
            </w:r>
            <w:r w:rsidR="00EA5FC5">
              <w:rPr>
                <w:rFonts w:ascii="Arial" w:hAnsi="Arial" w:cs="Arial"/>
                <w:color w:val="auto"/>
                <w:highlight w:val="yellow"/>
              </w:rPr>
              <w:t xml:space="preserve"> </w:t>
            </w: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w:t>
            </w:r>
            <w:r w:rsidR="00B65362">
              <w:rPr>
                <w:rFonts w:ascii="Arial" w:hAnsi="Arial" w:cs="Arial"/>
                <w:color w:val="auto"/>
              </w:rPr>
              <w:t xml:space="preserve">engagement with PPG: </w:t>
            </w:r>
            <w:r w:rsidR="00EA5FC5">
              <w:rPr>
                <w:rFonts w:ascii="Arial" w:hAnsi="Arial" w:cs="Arial"/>
                <w:color w:val="auto"/>
              </w:rPr>
              <w:t xml:space="preserve"> We have met face to face, corresponded by email, spoken on the phone as well as having meetings </w:t>
            </w:r>
          </w:p>
          <w:p w:rsidR="003C2FB2" w:rsidRDefault="003C2FB2" w:rsidP="00A243E1">
            <w:pPr>
              <w:pStyle w:val="Default"/>
              <w:tabs>
                <w:tab w:val="left" w:pos="142"/>
              </w:tabs>
              <w:rPr>
                <w:rFonts w:ascii="Arial" w:hAnsi="Arial" w:cs="Arial"/>
                <w:color w:val="auto"/>
              </w:rPr>
            </w:pP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rPr>
            </w:pPr>
            <w:r w:rsidRPr="002649FE">
              <w:rPr>
                <w:rFonts w:ascii="Arial" w:hAnsi="Arial" w:cs="Arial"/>
              </w:rPr>
              <w:t>Number of members of PPG:</w:t>
            </w:r>
            <w:r w:rsidR="003C2FB2">
              <w:rPr>
                <w:rFonts w:ascii="Arial" w:hAnsi="Arial" w:cs="Arial"/>
              </w:rPr>
              <w:t xml:space="preserve"> </w:t>
            </w:r>
            <w:r w:rsidR="003C2FB2" w:rsidRPr="003C2FB2">
              <w:rPr>
                <w:rFonts w:ascii="Arial" w:hAnsi="Arial" w:cs="Arial"/>
                <w:sz w:val="24"/>
              </w:rPr>
              <w:t xml:space="preserve"> </w:t>
            </w:r>
            <w:r w:rsidR="00EA5FC5">
              <w:rPr>
                <w:rFonts w:ascii="Arial" w:hAnsi="Arial" w:cs="Arial"/>
                <w:color w:val="FFFFFF" w:themeColor="background1"/>
                <w:sz w:val="24"/>
                <w:highlight w:val="yellow"/>
              </w:rPr>
              <w:t xml:space="preserve">   </w:t>
            </w:r>
            <w:r w:rsidR="003C2FB2">
              <w:rPr>
                <w:rFonts w:ascii="Arial" w:hAnsi="Arial" w:cs="Arial"/>
              </w:rPr>
              <w:t xml:space="preserve">  </w:t>
            </w:r>
          </w:p>
          <w:p w:rsidR="003C2FB2" w:rsidRPr="002649FE" w:rsidRDefault="00EA5FC5" w:rsidP="00A243E1">
            <w:pPr>
              <w:pStyle w:val="Default"/>
              <w:tabs>
                <w:tab w:val="left" w:pos="142"/>
              </w:tabs>
              <w:rPr>
                <w:rFonts w:ascii="Arial" w:hAnsi="Arial" w:cs="Arial"/>
              </w:rPr>
            </w:pPr>
            <w:r>
              <w:rPr>
                <w:rFonts w:ascii="Arial" w:hAnsi="Arial" w:cs="Arial"/>
              </w:rPr>
              <w:t>4</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A64112" w:rsidP="00A243E1">
                  <w:pPr>
                    <w:pStyle w:val="Default"/>
                    <w:tabs>
                      <w:tab w:val="left" w:pos="142"/>
                    </w:tabs>
                    <w:rPr>
                      <w:rFonts w:ascii="Arial" w:hAnsi="Arial" w:cs="Arial"/>
                    </w:rPr>
                  </w:pPr>
                  <w:r>
                    <w:rPr>
                      <w:rFonts w:ascii="Arial" w:hAnsi="Arial" w:cs="Arial"/>
                    </w:rPr>
                    <w:t>4766</w:t>
                  </w:r>
                </w:p>
              </w:tc>
              <w:tc>
                <w:tcPr>
                  <w:tcW w:w="1985" w:type="dxa"/>
                </w:tcPr>
                <w:p w:rsidR="00A75AE8" w:rsidRPr="002649FE" w:rsidRDefault="00A64112" w:rsidP="00A243E1">
                  <w:pPr>
                    <w:pStyle w:val="Default"/>
                    <w:tabs>
                      <w:tab w:val="left" w:pos="142"/>
                    </w:tabs>
                    <w:rPr>
                      <w:rFonts w:ascii="Arial" w:hAnsi="Arial" w:cs="Arial"/>
                    </w:rPr>
                  </w:pPr>
                  <w:r>
                    <w:rPr>
                      <w:rFonts w:ascii="Arial" w:hAnsi="Arial" w:cs="Arial"/>
                    </w:rPr>
                    <w:t>4550</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A64112" w:rsidP="00A243E1">
                  <w:pPr>
                    <w:pStyle w:val="Default"/>
                    <w:tabs>
                      <w:tab w:val="left" w:pos="142"/>
                    </w:tabs>
                    <w:rPr>
                      <w:rFonts w:ascii="Arial" w:hAnsi="Arial" w:cs="Arial"/>
                    </w:rPr>
                  </w:pPr>
                  <w:r>
                    <w:rPr>
                      <w:rFonts w:ascii="Arial" w:hAnsi="Arial" w:cs="Arial"/>
                    </w:rPr>
                    <w:t>1</w:t>
                  </w:r>
                </w:p>
              </w:tc>
              <w:tc>
                <w:tcPr>
                  <w:tcW w:w="1985" w:type="dxa"/>
                </w:tcPr>
                <w:p w:rsidR="00A75AE8" w:rsidRPr="002649FE" w:rsidRDefault="00A64112" w:rsidP="00A243E1">
                  <w:pPr>
                    <w:pStyle w:val="Default"/>
                    <w:tabs>
                      <w:tab w:val="left" w:pos="142"/>
                    </w:tabs>
                    <w:rPr>
                      <w:rFonts w:ascii="Arial" w:hAnsi="Arial" w:cs="Arial"/>
                    </w:rPr>
                  </w:pPr>
                  <w:r>
                    <w:rPr>
                      <w:rFonts w:ascii="Arial" w:hAnsi="Arial" w:cs="Arial"/>
                    </w:rPr>
                    <w:t>3</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E9001D" w:rsidP="00A243E1">
                  <w:pPr>
                    <w:pStyle w:val="Default"/>
                    <w:tabs>
                      <w:tab w:val="left" w:pos="142"/>
                    </w:tabs>
                    <w:rPr>
                      <w:rFonts w:ascii="Arial" w:hAnsi="Arial" w:cs="Arial"/>
                    </w:rPr>
                  </w:pPr>
                  <w:r>
                    <w:rPr>
                      <w:rFonts w:ascii="Arial" w:hAnsi="Arial" w:cs="Arial"/>
                    </w:rPr>
                    <w:t>2250</w:t>
                  </w:r>
                </w:p>
              </w:tc>
              <w:tc>
                <w:tcPr>
                  <w:tcW w:w="850" w:type="dxa"/>
                </w:tcPr>
                <w:p w:rsidR="00A75AE8" w:rsidRPr="002649FE" w:rsidRDefault="00E9001D" w:rsidP="00A243E1">
                  <w:pPr>
                    <w:pStyle w:val="Default"/>
                    <w:tabs>
                      <w:tab w:val="left" w:pos="142"/>
                    </w:tabs>
                    <w:rPr>
                      <w:rFonts w:ascii="Arial" w:hAnsi="Arial" w:cs="Arial"/>
                    </w:rPr>
                  </w:pPr>
                  <w:r>
                    <w:rPr>
                      <w:rFonts w:ascii="Arial" w:hAnsi="Arial" w:cs="Arial"/>
                    </w:rPr>
                    <w:t>901</w:t>
                  </w:r>
                </w:p>
              </w:tc>
              <w:tc>
                <w:tcPr>
                  <w:tcW w:w="851" w:type="dxa"/>
                </w:tcPr>
                <w:p w:rsidR="00A75AE8" w:rsidRPr="002649FE" w:rsidRDefault="00E9001D" w:rsidP="00A243E1">
                  <w:pPr>
                    <w:pStyle w:val="Default"/>
                    <w:tabs>
                      <w:tab w:val="left" w:pos="142"/>
                    </w:tabs>
                    <w:rPr>
                      <w:rFonts w:ascii="Arial" w:hAnsi="Arial" w:cs="Arial"/>
                    </w:rPr>
                  </w:pPr>
                  <w:r>
                    <w:rPr>
                      <w:rFonts w:ascii="Arial" w:hAnsi="Arial" w:cs="Arial"/>
                    </w:rPr>
                    <w:t>1516</w:t>
                  </w:r>
                </w:p>
              </w:tc>
              <w:tc>
                <w:tcPr>
                  <w:tcW w:w="850" w:type="dxa"/>
                </w:tcPr>
                <w:p w:rsidR="00A75AE8" w:rsidRPr="002649FE" w:rsidRDefault="00E9001D" w:rsidP="00A243E1">
                  <w:pPr>
                    <w:pStyle w:val="Default"/>
                    <w:tabs>
                      <w:tab w:val="left" w:pos="142"/>
                    </w:tabs>
                    <w:rPr>
                      <w:rFonts w:ascii="Arial" w:hAnsi="Arial" w:cs="Arial"/>
                    </w:rPr>
                  </w:pPr>
                  <w:r>
                    <w:rPr>
                      <w:rFonts w:ascii="Arial" w:hAnsi="Arial" w:cs="Arial"/>
                    </w:rPr>
                    <w:t>1407</w:t>
                  </w:r>
                </w:p>
              </w:tc>
              <w:tc>
                <w:tcPr>
                  <w:tcW w:w="851" w:type="dxa"/>
                </w:tcPr>
                <w:p w:rsidR="00A75AE8" w:rsidRPr="002649FE" w:rsidRDefault="00E9001D" w:rsidP="00A243E1">
                  <w:pPr>
                    <w:pStyle w:val="Default"/>
                    <w:tabs>
                      <w:tab w:val="left" w:pos="142"/>
                    </w:tabs>
                    <w:rPr>
                      <w:rFonts w:ascii="Arial" w:hAnsi="Arial" w:cs="Arial"/>
                    </w:rPr>
                  </w:pPr>
                  <w:r>
                    <w:rPr>
                      <w:rFonts w:ascii="Arial" w:hAnsi="Arial" w:cs="Arial"/>
                    </w:rPr>
                    <w:t>1212</w:t>
                  </w:r>
                </w:p>
              </w:tc>
              <w:tc>
                <w:tcPr>
                  <w:tcW w:w="850" w:type="dxa"/>
                </w:tcPr>
                <w:p w:rsidR="00A75AE8" w:rsidRPr="002649FE" w:rsidRDefault="00E9001D" w:rsidP="00A243E1">
                  <w:pPr>
                    <w:pStyle w:val="Default"/>
                    <w:tabs>
                      <w:tab w:val="left" w:pos="142"/>
                    </w:tabs>
                    <w:rPr>
                      <w:rFonts w:ascii="Arial" w:hAnsi="Arial" w:cs="Arial"/>
                    </w:rPr>
                  </w:pPr>
                  <w:r>
                    <w:rPr>
                      <w:rFonts w:ascii="Arial" w:hAnsi="Arial" w:cs="Arial"/>
                    </w:rPr>
                    <w:t>849</w:t>
                  </w:r>
                </w:p>
              </w:tc>
              <w:tc>
                <w:tcPr>
                  <w:tcW w:w="851" w:type="dxa"/>
                </w:tcPr>
                <w:p w:rsidR="00A75AE8" w:rsidRPr="002649FE" w:rsidRDefault="00E9001D" w:rsidP="00A243E1">
                  <w:pPr>
                    <w:pStyle w:val="Default"/>
                    <w:tabs>
                      <w:tab w:val="left" w:pos="142"/>
                    </w:tabs>
                    <w:rPr>
                      <w:rFonts w:ascii="Arial" w:hAnsi="Arial" w:cs="Arial"/>
                    </w:rPr>
                  </w:pPr>
                  <w:r>
                    <w:rPr>
                      <w:rFonts w:ascii="Arial" w:hAnsi="Arial" w:cs="Arial"/>
                    </w:rPr>
                    <w:t>597</w:t>
                  </w:r>
                </w:p>
              </w:tc>
              <w:tc>
                <w:tcPr>
                  <w:tcW w:w="708" w:type="dxa"/>
                </w:tcPr>
                <w:p w:rsidR="00A75AE8" w:rsidRPr="002649FE" w:rsidRDefault="00E9001D" w:rsidP="00A243E1">
                  <w:pPr>
                    <w:pStyle w:val="Default"/>
                    <w:tabs>
                      <w:tab w:val="left" w:pos="142"/>
                    </w:tabs>
                    <w:rPr>
                      <w:rFonts w:ascii="Arial" w:hAnsi="Arial" w:cs="Arial"/>
                    </w:rPr>
                  </w:pPr>
                  <w:r>
                    <w:rPr>
                      <w:rFonts w:ascii="Arial" w:hAnsi="Arial" w:cs="Arial"/>
                    </w:rPr>
                    <w:t>584</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FF4BF3"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FF4BF3"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FF4BF3"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FF4BF3"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FF4BF3"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FF4BF3"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FF4BF3" w:rsidP="00A243E1">
                  <w:pPr>
                    <w:pStyle w:val="Default"/>
                    <w:tabs>
                      <w:tab w:val="left" w:pos="142"/>
                    </w:tabs>
                    <w:rPr>
                      <w:rFonts w:ascii="Arial" w:hAnsi="Arial" w:cs="Arial"/>
                    </w:rPr>
                  </w:pPr>
                  <w:r>
                    <w:rPr>
                      <w:rFonts w:ascii="Arial" w:hAnsi="Arial" w:cs="Arial"/>
                    </w:rPr>
                    <w:t>2</w:t>
                  </w:r>
                </w:p>
              </w:tc>
              <w:tc>
                <w:tcPr>
                  <w:tcW w:w="708" w:type="dxa"/>
                </w:tcPr>
                <w:p w:rsidR="00A75AE8" w:rsidRPr="002649FE" w:rsidRDefault="00FF4BF3"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28</w:t>
                  </w:r>
                  <w:r w:rsidR="00A50E4C">
                    <w:rPr>
                      <w:rFonts w:ascii="Arial" w:hAnsi="Arial" w:cs="Arial"/>
                      <w:color w:val="auto"/>
                    </w:rPr>
                    <w:t>52</w:t>
                  </w:r>
                </w:p>
              </w:tc>
              <w:tc>
                <w:tcPr>
                  <w:tcW w:w="851"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2</w:t>
                  </w:r>
                  <w:r w:rsidR="00FF4BF3">
                    <w:rPr>
                      <w:rFonts w:ascii="Arial" w:hAnsi="Arial" w:cs="Arial"/>
                      <w:color w:val="auto"/>
                    </w:rPr>
                    <w:t>76</w:t>
                  </w:r>
                </w:p>
              </w:tc>
              <w:tc>
                <w:tcPr>
                  <w:tcW w:w="1452" w:type="dxa"/>
                </w:tcPr>
                <w:p w:rsidR="00A75AE8" w:rsidRPr="002649FE" w:rsidRDefault="00FF4BF3" w:rsidP="00A243E1">
                  <w:pPr>
                    <w:pStyle w:val="Default"/>
                    <w:tabs>
                      <w:tab w:val="left" w:pos="142"/>
                    </w:tabs>
                    <w:rPr>
                      <w:rFonts w:ascii="Arial" w:hAnsi="Arial" w:cs="Arial"/>
                      <w:color w:val="auto"/>
                    </w:rPr>
                  </w:pPr>
                  <w:r>
                    <w:rPr>
                      <w:rFonts w:ascii="Arial" w:hAnsi="Arial" w:cs="Arial"/>
                      <w:color w:val="auto"/>
                    </w:rPr>
                    <w:t>4</w:t>
                  </w:r>
                </w:p>
              </w:tc>
              <w:tc>
                <w:tcPr>
                  <w:tcW w:w="1204"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6</w:t>
                  </w:r>
                  <w:r w:rsidR="00A50E4C">
                    <w:rPr>
                      <w:rFonts w:ascii="Arial" w:hAnsi="Arial" w:cs="Arial"/>
                      <w:color w:val="auto"/>
                    </w:rPr>
                    <w:t>86</w:t>
                  </w:r>
                </w:p>
              </w:tc>
              <w:tc>
                <w:tcPr>
                  <w:tcW w:w="1418"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15</w:t>
                  </w:r>
                  <w:r w:rsidR="00A50E4C">
                    <w:rPr>
                      <w:rFonts w:ascii="Arial" w:hAnsi="Arial" w:cs="Arial"/>
                      <w:color w:val="auto"/>
                    </w:rPr>
                    <w:t>6</w:t>
                  </w:r>
                </w:p>
              </w:tc>
              <w:tc>
                <w:tcPr>
                  <w:tcW w:w="1843"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32</w:t>
                  </w:r>
                </w:p>
              </w:tc>
              <w:tc>
                <w:tcPr>
                  <w:tcW w:w="992" w:type="dxa"/>
                </w:tcPr>
                <w:p w:rsidR="00A75AE8" w:rsidRPr="002649FE" w:rsidRDefault="00A50E4C" w:rsidP="00A243E1">
                  <w:pPr>
                    <w:pStyle w:val="Default"/>
                    <w:tabs>
                      <w:tab w:val="left" w:pos="142"/>
                    </w:tabs>
                    <w:rPr>
                      <w:rFonts w:ascii="Arial" w:hAnsi="Arial" w:cs="Arial"/>
                      <w:color w:val="auto"/>
                    </w:rPr>
                  </w:pPr>
                  <w:r>
                    <w:rPr>
                      <w:rFonts w:ascii="Arial" w:hAnsi="Arial" w:cs="Arial"/>
                      <w:color w:val="auto"/>
                    </w:rPr>
                    <w:t>6</w:t>
                  </w:r>
                </w:p>
              </w:tc>
              <w:tc>
                <w:tcPr>
                  <w:tcW w:w="992"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2</w:t>
                  </w:r>
                  <w:r w:rsidR="00A50E4C">
                    <w:rPr>
                      <w:rFonts w:ascii="Arial" w:hAnsi="Arial" w:cs="Arial"/>
                      <w:color w:val="auto"/>
                    </w:rPr>
                    <w:t>86</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A64112" w:rsidP="00A243E1">
                  <w:pPr>
                    <w:pStyle w:val="Default"/>
                    <w:tabs>
                      <w:tab w:val="left" w:pos="142"/>
                    </w:tabs>
                    <w:rPr>
                      <w:rFonts w:ascii="Arial" w:hAnsi="Arial" w:cs="Arial"/>
                      <w:color w:val="auto"/>
                    </w:rPr>
                  </w:pPr>
                  <w:r>
                    <w:rPr>
                      <w:rFonts w:ascii="Arial" w:hAnsi="Arial" w:cs="Arial"/>
                      <w:color w:val="auto"/>
                    </w:rPr>
                    <w:t>3</w:t>
                  </w:r>
                </w:p>
              </w:tc>
              <w:tc>
                <w:tcPr>
                  <w:tcW w:w="851" w:type="dxa"/>
                </w:tcPr>
                <w:p w:rsidR="00A75AE8" w:rsidRPr="002649FE" w:rsidRDefault="00A64112" w:rsidP="00A243E1">
                  <w:pPr>
                    <w:pStyle w:val="Default"/>
                    <w:tabs>
                      <w:tab w:val="left" w:pos="142"/>
                    </w:tabs>
                    <w:rPr>
                      <w:rFonts w:ascii="Arial" w:hAnsi="Arial" w:cs="Arial"/>
                      <w:color w:val="auto"/>
                    </w:rPr>
                  </w:pPr>
                  <w:r>
                    <w:rPr>
                      <w:rFonts w:ascii="Arial" w:hAnsi="Arial" w:cs="Arial"/>
                      <w:color w:val="auto"/>
                    </w:rPr>
                    <w:t>0</w:t>
                  </w:r>
                </w:p>
              </w:tc>
              <w:tc>
                <w:tcPr>
                  <w:tcW w:w="1452" w:type="dxa"/>
                </w:tcPr>
                <w:p w:rsidR="00A75AE8" w:rsidRPr="002649FE" w:rsidRDefault="00A64112"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A64112" w:rsidP="00A243E1">
                  <w:pPr>
                    <w:pStyle w:val="Default"/>
                    <w:tabs>
                      <w:tab w:val="left" w:pos="142"/>
                    </w:tabs>
                    <w:rPr>
                      <w:rFonts w:ascii="Arial" w:hAnsi="Arial" w:cs="Arial"/>
                      <w:color w:val="auto"/>
                    </w:rPr>
                  </w:pPr>
                  <w:r>
                    <w:rPr>
                      <w:rFonts w:ascii="Arial" w:hAnsi="Arial" w:cs="Arial"/>
                      <w:color w:val="auto"/>
                    </w:rPr>
                    <w:t>0</w:t>
                  </w:r>
                </w:p>
              </w:tc>
              <w:tc>
                <w:tcPr>
                  <w:tcW w:w="1418" w:type="dxa"/>
                </w:tcPr>
                <w:p w:rsidR="00A75AE8" w:rsidRPr="002649FE" w:rsidRDefault="00A64112"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A64112"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64112" w:rsidP="00A243E1">
                  <w:pPr>
                    <w:pStyle w:val="Default"/>
                    <w:tabs>
                      <w:tab w:val="left" w:pos="142"/>
                    </w:tabs>
                    <w:rPr>
                      <w:rFonts w:ascii="Arial" w:hAnsi="Arial" w:cs="Arial"/>
                      <w:color w:val="auto"/>
                    </w:rPr>
                  </w:pPr>
                  <w:r>
                    <w:rPr>
                      <w:rFonts w:ascii="Arial" w:hAnsi="Arial" w:cs="Arial"/>
                      <w:color w:val="auto"/>
                    </w:rPr>
                    <w:t>0</w:t>
                  </w:r>
                </w:p>
              </w:tc>
              <w:tc>
                <w:tcPr>
                  <w:tcW w:w="992" w:type="dxa"/>
                </w:tcPr>
                <w:p w:rsidR="00A75AE8" w:rsidRPr="002649FE" w:rsidRDefault="00A64112"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9E1163" w:rsidP="00A243E1">
                  <w:pPr>
                    <w:pStyle w:val="Default"/>
                    <w:tabs>
                      <w:tab w:val="left" w:pos="142"/>
                    </w:tabs>
                    <w:rPr>
                      <w:rFonts w:ascii="Arial" w:hAnsi="Arial" w:cs="Arial"/>
                    </w:rPr>
                  </w:pPr>
                  <w:r>
                    <w:rPr>
                      <w:rFonts w:ascii="Arial" w:hAnsi="Arial" w:cs="Arial"/>
                    </w:rPr>
                    <w:t>2154</w:t>
                  </w:r>
                </w:p>
              </w:tc>
              <w:tc>
                <w:tcPr>
                  <w:tcW w:w="1417" w:type="dxa"/>
                </w:tcPr>
                <w:p w:rsidR="00A75AE8" w:rsidRPr="002649FE" w:rsidRDefault="00C44FFB" w:rsidP="00A243E1">
                  <w:pPr>
                    <w:pStyle w:val="Default"/>
                    <w:tabs>
                      <w:tab w:val="left" w:pos="142"/>
                    </w:tabs>
                    <w:rPr>
                      <w:rFonts w:ascii="Arial" w:hAnsi="Arial" w:cs="Arial"/>
                    </w:rPr>
                  </w:pPr>
                  <w:r>
                    <w:rPr>
                      <w:rFonts w:ascii="Arial" w:hAnsi="Arial" w:cs="Arial"/>
                    </w:rPr>
                    <w:t>860</w:t>
                  </w:r>
                </w:p>
              </w:tc>
              <w:tc>
                <w:tcPr>
                  <w:tcW w:w="1559" w:type="dxa"/>
                </w:tcPr>
                <w:p w:rsidR="00A75AE8" w:rsidRPr="002649FE" w:rsidRDefault="00C44FFB" w:rsidP="00A243E1">
                  <w:pPr>
                    <w:pStyle w:val="Default"/>
                    <w:tabs>
                      <w:tab w:val="left" w:pos="142"/>
                    </w:tabs>
                    <w:rPr>
                      <w:rFonts w:ascii="Arial" w:hAnsi="Arial" w:cs="Arial"/>
                    </w:rPr>
                  </w:pPr>
                  <w:r>
                    <w:rPr>
                      <w:rFonts w:ascii="Arial" w:hAnsi="Arial" w:cs="Arial"/>
                    </w:rPr>
                    <w:t>72</w:t>
                  </w:r>
                </w:p>
              </w:tc>
              <w:tc>
                <w:tcPr>
                  <w:tcW w:w="1134" w:type="dxa"/>
                </w:tcPr>
                <w:p w:rsidR="00A75AE8" w:rsidRPr="002649FE" w:rsidRDefault="00FF4BF3" w:rsidP="00A243E1">
                  <w:pPr>
                    <w:pStyle w:val="Default"/>
                    <w:tabs>
                      <w:tab w:val="left" w:pos="142"/>
                    </w:tabs>
                    <w:rPr>
                      <w:rFonts w:ascii="Arial" w:hAnsi="Arial" w:cs="Arial"/>
                      <w:color w:val="auto"/>
                    </w:rPr>
                  </w:pPr>
                  <w:r>
                    <w:rPr>
                      <w:rFonts w:ascii="Arial" w:hAnsi="Arial" w:cs="Arial"/>
                      <w:color w:val="auto"/>
                    </w:rPr>
                    <w:t>22</w:t>
                  </w:r>
                </w:p>
              </w:tc>
              <w:tc>
                <w:tcPr>
                  <w:tcW w:w="993"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232</w:t>
                  </w:r>
                </w:p>
              </w:tc>
              <w:tc>
                <w:tcPr>
                  <w:tcW w:w="1134"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6</w:t>
                  </w:r>
                  <w:r w:rsidR="00FF4BF3">
                    <w:rPr>
                      <w:rFonts w:ascii="Arial" w:hAnsi="Arial" w:cs="Arial"/>
                      <w:color w:val="auto"/>
                    </w:rPr>
                    <w:t>76</w:t>
                  </w:r>
                </w:p>
              </w:tc>
              <w:tc>
                <w:tcPr>
                  <w:tcW w:w="1417"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525</w:t>
                  </w:r>
                </w:p>
              </w:tc>
              <w:tc>
                <w:tcPr>
                  <w:tcW w:w="992"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172</w:t>
                  </w:r>
                </w:p>
              </w:tc>
              <w:tc>
                <w:tcPr>
                  <w:tcW w:w="851"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1</w:t>
                  </w:r>
                  <w:r w:rsidR="00FF4BF3">
                    <w:rPr>
                      <w:rFonts w:ascii="Arial" w:hAnsi="Arial" w:cs="Arial"/>
                      <w:color w:val="auto"/>
                    </w:rPr>
                    <w:t>16</w:t>
                  </w:r>
                </w:p>
              </w:tc>
              <w:tc>
                <w:tcPr>
                  <w:tcW w:w="850" w:type="dxa"/>
                </w:tcPr>
                <w:p w:rsidR="00A75AE8" w:rsidRPr="002649FE" w:rsidRDefault="00C44FFB" w:rsidP="00A243E1">
                  <w:pPr>
                    <w:pStyle w:val="Default"/>
                    <w:tabs>
                      <w:tab w:val="left" w:pos="142"/>
                    </w:tabs>
                    <w:rPr>
                      <w:rFonts w:ascii="Arial" w:hAnsi="Arial" w:cs="Arial"/>
                      <w:color w:val="auto"/>
                    </w:rPr>
                  </w:pPr>
                  <w:r>
                    <w:rPr>
                      <w:rFonts w:ascii="Arial" w:hAnsi="Arial" w:cs="Arial"/>
                      <w:color w:val="auto"/>
                    </w:rPr>
                    <w:t>189</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64112"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A64112"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A6411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A64112"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A64112" w:rsidP="00A243E1">
                  <w:pPr>
                    <w:pStyle w:val="Default"/>
                    <w:tabs>
                      <w:tab w:val="left" w:pos="142"/>
                    </w:tabs>
                    <w:rPr>
                      <w:rFonts w:ascii="Arial" w:hAnsi="Arial" w:cs="Arial"/>
                    </w:rPr>
                  </w:pPr>
                  <w:r>
                    <w:rPr>
                      <w:rFonts w:ascii="Arial" w:hAnsi="Arial" w:cs="Arial"/>
                    </w:rPr>
                    <w:t>0</w:t>
                  </w:r>
                </w:p>
              </w:tc>
              <w:tc>
                <w:tcPr>
                  <w:tcW w:w="1134" w:type="dxa"/>
                </w:tcPr>
                <w:p w:rsidR="00A75AE8" w:rsidRPr="002649FE" w:rsidRDefault="00A64112" w:rsidP="00A243E1">
                  <w:pPr>
                    <w:pStyle w:val="Default"/>
                    <w:tabs>
                      <w:tab w:val="left" w:pos="142"/>
                    </w:tabs>
                    <w:rPr>
                      <w:rFonts w:ascii="Arial" w:hAnsi="Arial" w:cs="Arial"/>
                    </w:rPr>
                  </w:pPr>
                  <w:r>
                    <w:rPr>
                      <w:rFonts w:ascii="Arial" w:hAnsi="Arial" w:cs="Arial"/>
                    </w:rPr>
                    <w:t>0</w:t>
                  </w:r>
                </w:p>
              </w:tc>
              <w:tc>
                <w:tcPr>
                  <w:tcW w:w="1417" w:type="dxa"/>
                </w:tcPr>
                <w:p w:rsidR="00A75AE8" w:rsidRPr="002649FE" w:rsidRDefault="00A64112" w:rsidP="00A243E1">
                  <w:pPr>
                    <w:pStyle w:val="Default"/>
                    <w:tabs>
                      <w:tab w:val="left" w:pos="142"/>
                    </w:tabs>
                    <w:rPr>
                      <w:rFonts w:ascii="Arial" w:hAnsi="Arial" w:cs="Arial"/>
                    </w:rPr>
                  </w:pPr>
                  <w:r>
                    <w:rPr>
                      <w:rFonts w:ascii="Arial" w:hAnsi="Arial" w:cs="Arial"/>
                    </w:rPr>
                    <w:t>1</w:t>
                  </w:r>
                </w:p>
              </w:tc>
              <w:tc>
                <w:tcPr>
                  <w:tcW w:w="992" w:type="dxa"/>
                </w:tcPr>
                <w:p w:rsidR="00A75AE8" w:rsidRPr="002649FE" w:rsidRDefault="00A64112" w:rsidP="00A243E1">
                  <w:pPr>
                    <w:pStyle w:val="Default"/>
                    <w:tabs>
                      <w:tab w:val="left" w:pos="142"/>
                    </w:tabs>
                    <w:rPr>
                      <w:rFonts w:ascii="Arial" w:hAnsi="Arial" w:cs="Arial"/>
                    </w:rPr>
                  </w:pPr>
                  <w:r>
                    <w:rPr>
                      <w:rFonts w:ascii="Arial" w:hAnsi="Arial" w:cs="Arial"/>
                    </w:rPr>
                    <w:t>0</w:t>
                  </w:r>
                </w:p>
              </w:tc>
              <w:tc>
                <w:tcPr>
                  <w:tcW w:w="851" w:type="dxa"/>
                </w:tcPr>
                <w:p w:rsidR="00A75AE8" w:rsidRPr="002649FE" w:rsidRDefault="00A64112"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A64112" w:rsidP="00A243E1">
                  <w:pPr>
                    <w:pStyle w:val="Default"/>
                    <w:tabs>
                      <w:tab w:val="left" w:pos="142"/>
                    </w:tabs>
                    <w:rPr>
                      <w:rFonts w:ascii="Arial" w:hAnsi="Arial" w:cs="Arial"/>
                    </w:rPr>
                  </w:pPr>
                  <w:r>
                    <w:rPr>
                      <w:rFonts w:ascii="Arial" w:hAnsi="Arial" w:cs="Arial"/>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A243E1">
            <w:pPr>
              <w:tabs>
                <w:tab w:val="left" w:pos="142"/>
              </w:tabs>
              <w:rPr>
                <w:rFonts w:ascii="Arial" w:hAnsi="Arial" w:cs="Arial"/>
                <w:sz w:val="24"/>
                <w:szCs w:val="24"/>
              </w:rPr>
            </w:pPr>
          </w:p>
          <w:p w:rsidR="00B65362" w:rsidRPr="002649FE" w:rsidRDefault="00B65362" w:rsidP="00A243E1">
            <w:pPr>
              <w:tabs>
                <w:tab w:val="left" w:pos="142"/>
              </w:tabs>
              <w:rPr>
                <w:rFonts w:ascii="Arial" w:hAnsi="Arial" w:cs="Arial"/>
                <w:b/>
                <w:sz w:val="24"/>
                <w:szCs w:val="24"/>
              </w:rPr>
            </w:pPr>
            <w:r>
              <w:rPr>
                <w:rFonts w:ascii="Arial" w:hAnsi="Arial" w:cs="Arial"/>
                <w:sz w:val="24"/>
                <w:szCs w:val="24"/>
              </w:rPr>
              <w:t xml:space="preserve">We have tried various methods of recruitment to ensure the PPG is representative of the practice population in particular when the GP’s and nurses have been seeing patients, they have spoken to specific individuals to try and get them involved in the PPG. We have also spoken to the local Childrens Centre and asked them to promote the group with any parents that they know are patients of the practice.  </w:t>
            </w: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F040A6" w:rsidRDefault="00F040A6" w:rsidP="00A243E1">
            <w:pPr>
              <w:tabs>
                <w:tab w:val="left" w:pos="142"/>
              </w:tabs>
              <w:rPr>
                <w:rFonts w:ascii="Arial" w:hAnsi="Arial" w:cs="Arial"/>
                <w:sz w:val="24"/>
                <w:szCs w:val="24"/>
              </w:rPr>
            </w:pPr>
          </w:p>
          <w:p w:rsidR="00A75AE8" w:rsidRPr="002649FE" w:rsidRDefault="00B65362" w:rsidP="00A243E1">
            <w:pPr>
              <w:tabs>
                <w:tab w:val="left" w:pos="142"/>
              </w:tabs>
              <w:rPr>
                <w:rFonts w:ascii="Arial" w:hAnsi="Arial" w:cs="Arial"/>
                <w:sz w:val="24"/>
                <w:szCs w:val="24"/>
              </w:rPr>
            </w:pPr>
            <w:r>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B65362" w:rsidP="00A243E1">
            <w:pPr>
              <w:tabs>
                <w:tab w:val="left" w:pos="142"/>
              </w:tabs>
              <w:rPr>
                <w:rFonts w:ascii="Arial" w:hAnsi="Arial" w:cs="Arial"/>
                <w:sz w:val="24"/>
                <w:szCs w:val="24"/>
              </w:rPr>
            </w:pPr>
            <w:r>
              <w:rPr>
                <w:rFonts w:ascii="Arial" w:hAnsi="Arial" w:cs="Arial"/>
                <w:sz w:val="24"/>
                <w:szCs w:val="24"/>
              </w:rPr>
              <w:t>N/A</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2649FE" w:rsidRDefault="00C54538" w:rsidP="00A243E1">
            <w:pPr>
              <w:pStyle w:val="Default"/>
              <w:tabs>
                <w:tab w:val="left" w:pos="142"/>
              </w:tabs>
              <w:rPr>
                <w:rFonts w:ascii="Arial" w:hAnsi="Arial" w:cs="Arial"/>
              </w:rPr>
            </w:pPr>
            <w:r>
              <w:rPr>
                <w:rFonts w:ascii="Arial" w:hAnsi="Arial" w:cs="Arial"/>
              </w:rPr>
              <w:t>Friends and family questionnaires, GP survey, PPG members talking to patients during surgery,</w:t>
            </w:r>
            <w:r w:rsidR="00553DAD">
              <w:rPr>
                <w:rFonts w:ascii="Arial" w:hAnsi="Arial" w:cs="Arial"/>
              </w:rPr>
              <w:t xml:space="preserve"> </w:t>
            </w:r>
            <w:proofErr w:type="spellStart"/>
            <w:r w:rsidR="00553DAD">
              <w:rPr>
                <w:rFonts w:ascii="Arial" w:hAnsi="Arial" w:cs="Arial"/>
              </w:rPr>
              <w:t>Healthwatch</w:t>
            </w:r>
            <w:proofErr w:type="spellEnd"/>
            <w:r w:rsidR="00553DAD">
              <w:rPr>
                <w:rFonts w:ascii="Arial" w:hAnsi="Arial" w:cs="Arial"/>
              </w:rPr>
              <w:t xml:space="preserve"> England,</w:t>
            </w:r>
            <w:r>
              <w:rPr>
                <w:rFonts w:ascii="Arial" w:hAnsi="Arial" w:cs="Arial"/>
              </w:rPr>
              <w:t xml:space="preserve"> as well as reviewing compliments and complaints received.</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511CF4" w:rsidRPr="002649FE" w:rsidRDefault="00511CF4" w:rsidP="00A243E1">
            <w:pPr>
              <w:pStyle w:val="Default"/>
              <w:tabs>
                <w:tab w:val="left" w:pos="142"/>
              </w:tabs>
              <w:rPr>
                <w:rFonts w:ascii="Arial" w:hAnsi="Arial" w:cs="Arial"/>
                <w:sz w:val="24"/>
              </w:rPr>
            </w:pPr>
          </w:p>
          <w:p w:rsidR="00A75AE8" w:rsidRPr="002649FE" w:rsidRDefault="00C54538" w:rsidP="00A243E1">
            <w:pPr>
              <w:pStyle w:val="Default"/>
              <w:tabs>
                <w:tab w:val="left" w:pos="142"/>
              </w:tabs>
              <w:rPr>
                <w:rFonts w:ascii="Arial" w:hAnsi="Arial" w:cs="Arial"/>
              </w:rPr>
            </w:pPr>
            <w:r>
              <w:rPr>
                <w:rFonts w:ascii="Arial" w:hAnsi="Arial" w:cs="Arial"/>
              </w:rPr>
              <w:t>As and when feedback was received</w:t>
            </w:r>
            <w:r w:rsidR="00933ED6">
              <w:rPr>
                <w:rFonts w:ascii="Arial" w:hAnsi="Arial" w:cs="Arial"/>
              </w:rPr>
              <w:t xml:space="preserve"> this was communicated to the PP</w:t>
            </w:r>
            <w:r>
              <w:rPr>
                <w:rFonts w:ascii="Arial" w:hAnsi="Arial" w:cs="Arial"/>
              </w:rPr>
              <w:t>G</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C54538">
              <w:rPr>
                <w:rFonts w:ascii="Arial" w:hAnsi="Arial" w:cs="Arial"/>
                <w:sz w:val="24"/>
              </w:rPr>
              <w:t xml:space="preserve"> Phone system – Patients had complained about our 0844 number </w:t>
            </w:r>
            <w:r w:rsidR="00553DAD">
              <w:rPr>
                <w:rFonts w:ascii="Arial" w:hAnsi="Arial" w:cs="Arial"/>
                <w:sz w:val="24"/>
              </w:rPr>
              <w:t xml:space="preserve">and the cost of phoning in to the practice to speak to a GP/make an appointment </w:t>
            </w:r>
            <w:proofErr w:type="spellStart"/>
            <w:r w:rsidR="00553DAD">
              <w:rPr>
                <w:rFonts w:ascii="Arial" w:hAnsi="Arial" w:cs="Arial"/>
                <w:sz w:val="24"/>
              </w:rPr>
              <w:t>etc</w:t>
            </w:r>
            <w:proofErr w:type="spellEnd"/>
            <w:r w:rsidR="00553DAD">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553DAD" w:rsidP="00A243E1">
            <w:pPr>
              <w:pStyle w:val="Default"/>
              <w:tabs>
                <w:tab w:val="left" w:pos="142"/>
              </w:tabs>
              <w:rPr>
                <w:rFonts w:ascii="Arial" w:hAnsi="Arial" w:cs="Arial"/>
                <w:sz w:val="24"/>
              </w:rPr>
            </w:pPr>
            <w:r>
              <w:rPr>
                <w:rFonts w:ascii="Arial" w:hAnsi="Arial" w:cs="Arial"/>
                <w:sz w:val="24"/>
              </w:rPr>
              <w:t>We discussed and agreed with the PPG to look at alternatives for patients</w:t>
            </w:r>
            <w:r w:rsidR="00513436">
              <w:rPr>
                <w:rFonts w:ascii="Arial" w:hAnsi="Arial" w:cs="Arial"/>
                <w:sz w:val="24"/>
              </w:rPr>
              <w:t>,</w:t>
            </w:r>
            <w:r>
              <w:rPr>
                <w:rFonts w:ascii="Arial" w:hAnsi="Arial" w:cs="Arial"/>
                <w:sz w:val="24"/>
              </w:rPr>
              <w:t xml:space="preserve"> and the practice had meetings with two telephony companies and also received feedback from </w:t>
            </w:r>
            <w:proofErr w:type="spellStart"/>
            <w:r>
              <w:rPr>
                <w:rFonts w:ascii="Arial" w:hAnsi="Arial" w:cs="Arial"/>
                <w:sz w:val="24"/>
              </w:rPr>
              <w:t>Healthwatch</w:t>
            </w:r>
            <w:proofErr w:type="spellEnd"/>
            <w:r>
              <w:rPr>
                <w:rFonts w:ascii="Arial" w:hAnsi="Arial" w:cs="Arial"/>
                <w:sz w:val="24"/>
              </w:rPr>
              <w:t>. We agreed to change our phone number to a local number.</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553DAD" w:rsidRPr="002649FE" w:rsidRDefault="00553DAD" w:rsidP="00A243E1">
            <w:pPr>
              <w:pStyle w:val="Default"/>
              <w:tabs>
                <w:tab w:val="left" w:pos="142"/>
              </w:tabs>
              <w:rPr>
                <w:rFonts w:ascii="Arial" w:hAnsi="Arial" w:cs="Arial"/>
                <w:sz w:val="24"/>
              </w:rPr>
            </w:pPr>
            <w:r>
              <w:rPr>
                <w:rFonts w:ascii="Arial" w:hAnsi="Arial" w:cs="Arial"/>
                <w:sz w:val="24"/>
              </w:rPr>
              <w:t>We had posters printed, put a message on the back of the prescriptions that were issued to patients and also updated our practice leaflet and website. As a result we have received virtually no complaints about the phone system now and also now very few patients just “walk in” whereas before they “walked in” as opposed to phoning the practice due to the cost.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FF2686">
              <w:rPr>
                <w:rFonts w:ascii="Arial" w:hAnsi="Arial" w:cs="Arial"/>
                <w:sz w:val="24"/>
              </w:rPr>
              <w:t xml:space="preserve"> The PPG felt that a patient education event was needed to try and educate patients about the “Minor Ailment Scheme”, the “PPG” and the opening hours of the practice </w:t>
            </w:r>
            <w:proofErr w:type="spellStart"/>
            <w:r w:rsidR="00FF2686">
              <w:rPr>
                <w:rFonts w:ascii="Arial" w:hAnsi="Arial" w:cs="Arial"/>
                <w:sz w:val="24"/>
              </w:rPr>
              <w:t>etc</w:t>
            </w:r>
            <w:proofErr w:type="spellEnd"/>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r w:rsidR="00FF2686">
              <w:rPr>
                <w:rFonts w:ascii="Arial" w:hAnsi="Arial" w:cs="Arial"/>
                <w:sz w:val="24"/>
              </w:rPr>
              <w:t xml:space="preserve"> We held our “Flu Clinic” on Saturday 11</w:t>
            </w:r>
            <w:r w:rsidR="00FF2686" w:rsidRPr="00FF2686">
              <w:rPr>
                <w:rFonts w:ascii="Arial" w:hAnsi="Arial" w:cs="Arial"/>
                <w:sz w:val="24"/>
                <w:vertAlign w:val="superscript"/>
              </w:rPr>
              <w:t>th</w:t>
            </w:r>
            <w:r w:rsidR="00FF2686">
              <w:rPr>
                <w:rFonts w:ascii="Arial" w:hAnsi="Arial" w:cs="Arial"/>
                <w:sz w:val="24"/>
              </w:rPr>
              <w:t xml:space="preserve"> October 2014 and had the PPG present, Age Concern, Carers UK, and different members of the practice team promoting the “minor ailment scheme”, opening hours </w:t>
            </w:r>
            <w:proofErr w:type="spellStart"/>
            <w:r w:rsidR="00FF2686">
              <w:rPr>
                <w:rFonts w:ascii="Arial" w:hAnsi="Arial" w:cs="Arial"/>
                <w:sz w:val="24"/>
              </w:rPr>
              <w:t>etc</w:t>
            </w:r>
            <w:proofErr w:type="spellEnd"/>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FF2686" w:rsidP="00A243E1">
            <w:pPr>
              <w:pStyle w:val="Default"/>
              <w:tabs>
                <w:tab w:val="left" w:pos="142"/>
              </w:tabs>
              <w:rPr>
                <w:rFonts w:ascii="Arial" w:hAnsi="Arial" w:cs="Arial"/>
                <w:sz w:val="24"/>
              </w:rPr>
            </w:pPr>
            <w:r>
              <w:rPr>
                <w:rFonts w:ascii="Arial" w:hAnsi="Arial" w:cs="Arial"/>
                <w:sz w:val="24"/>
              </w:rPr>
              <w:t>We gained a further two patients for our PPG group, Age Concern managed to get one volunteer, and we issued a number of Minor Ailment forms and practice booklets to patients attending. Age Concern also offered advice to a number of our patients.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2C6552">
              <w:rPr>
                <w:rFonts w:ascii="Arial" w:hAnsi="Arial" w:cs="Arial"/>
                <w:sz w:val="24"/>
              </w:rPr>
              <w:t xml:space="preserve"> When patients wanted to complain or compliment a member of staff, or the practice had to investigate complaints that were made</w:t>
            </w:r>
            <w:r w:rsidR="00513436">
              <w:rPr>
                <w:rFonts w:ascii="Arial" w:hAnsi="Arial" w:cs="Arial"/>
                <w:sz w:val="24"/>
              </w:rPr>
              <w:t>,</w:t>
            </w:r>
            <w:r w:rsidR="002C6552">
              <w:rPr>
                <w:rFonts w:ascii="Arial" w:hAnsi="Arial" w:cs="Arial"/>
                <w:sz w:val="24"/>
              </w:rPr>
              <w:t xml:space="preserve"> it made it difficult to try and find out what member of staff the patient was referring to – even members of the PPG found it difficult to know who was who.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A75AE8" w:rsidRPr="002649FE" w:rsidRDefault="002C6552" w:rsidP="00A243E1">
            <w:pPr>
              <w:pStyle w:val="Default"/>
              <w:tabs>
                <w:tab w:val="left" w:pos="142"/>
              </w:tabs>
              <w:rPr>
                <w:rFonts w:ascii="Arial" w:hAnsi="Arial" w:cs="Arial"/>
                <w:sz w:val="24"/>
              </w:rPr>
            </w:pPr>
            <w:r>
              <w:rPr>
                <w:rFonts w:ascii="Arial" w:hAnsi="Arial" w:cs="Arial"/>
                <w:sz w:val="24"/>
              </w:rPr>
              <w:t>We acknowledged and agreed with the PPG that it was good customer service for patients, that staff introduce themselves when answering the phone and also the practice agreed to issue</w:t>
            </w:r>
            <w:r w:rsidR="00513436">
              <w:rPr>
                <w:rFonts w:ascii="Arial" w:hAnsi="Arial" w:cs="Arial"/>
                <w:sz w:val="24"/>
              </w:rPr>
              <w:t xml:space="preserve"> all the staff</w:t>
            </w:r>
            <w:r>
              <w:rPr>
                <w:rFonts w:ascii="Arial" w:hAnsi="Arial" w:cs="Arial"/>
                <w:sz w:val="24"/>
              </w:rPr>
              <w:t xml:space="preserve"> name badges to wear in order that patients can identify the staff when need be.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6C4CD0" w:rsidP="00A243E1">
            <w:pPr>
              <w:pStyle w:val="Default"/>
              <w:tabs>
                <w:tab w:val="left" w:pos="142"/>
              </w:tabs>
              <w:rPr>
                <w:rFonts w:ascii="Arial" w:hAnsi="Arial" w:cs="Arial"/>
                <w:sz w:val="24"/>
              </w:rPr>
            </w:pPr>
            <w:r>
              <w:rPr>
                <w:rFonts w:ascii="Arial" w:hAnsi="Arial" w:cs="Arial"/>
                <w:sz w:val="24"/>
              </w:rPr>
              <w:t xml:space="preserve">This has resulted in the practice being able to go back to particular members of staff if there has been a query/complaint/compliment with a patient and also it has made it more personal in the relationship that the member of staff has had with the patient. It has also helped with external visitors and other colleagues knowing who they have spoken to.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7DE3E0CD" wp14:editId="2A341B99">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A75AE8" w:rsidRDefault="002B418E" w:rsidP="006C4CD0">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6C4CD0" w:rsidRDefault="006C4CD0" w:rsidP="006C4CD0">
                            <w:pPr>
                              <w:pStyle w:val="ListParagraph"/>
                              <w:tabs>
                                <w:tab w:val="left" w:pos="142"/>
                              </w:tabs>
                              <w:autoSpaceDE w:val="0"/>
                              <w:autoSpaceDN w:val="0"/>
                              <w:adjustRightInd w:val="0"/>
                              <w:spacing w:line="240" w:lineRule="auto"/>
                              <w:ind w:left="0"/>
                              <w:rPr>
                                <w:rFonts w:ascii="Arial" w:hAnsi="Arial" w:cs="Arial"/>
                                <w:sz w:val="24"/>
                                <w:szCs w:val="24"/>
                              </w:rPr>
                            </w:pPr>
                          </w:p>
                          <w:p w:rsidR="006C4CD0" w:rsidRDefault="006C4CD0" w:rsidP="006C4CD0">
                            <w:pPr>
                              <w:pStyle w:val="ListParagraph"/>
                              <w:numPr>
                                <w:ilvl w:val="0"/>
                                <w:numId w:val="3"/>
                              </w:numPr>
                              <w:tabs>
                                <w:tab w:val="left" w:pos="142"/>
                              </w:tabs>
                              <w:autoSpaceDE w:val="0"/>
                              <w:autoSpaceDN w:val="0"/>
                              <w:adjustRightInd w:val="0"/>
                              <w:spacing w:line="240" w:lineRule="auto"/>
                              <w:rPr>
                                <w:rFonts w:ascii="Arial" w:hAnsi="Arial" w:cs="Arial"/>
                                <w:sz w:val="24"/>
                                <w:szCs w:val="24"/>
                              </w:rPr>
                            </w:pPr>
                            <w:r>
                              <w:rPr>
                                <w:rFonts w:ascii="Arial" w:hAnsi="Arial" w:cs="Arial"/>
                                <w:sz w:val="24"/>
                                <w:szCs w:val="24"/>
                              </w:rPr>
                              <w:t>The patients are now fully conversant with the Partners in the practice – this became a problem when some of the</w:t>
                            </w:r>
                            <w:r w:rsidR="002E7874">
                              <w:rPr>
                                <w:rFonts w:ascii="Arial" w:hAnsi="Arial" w:cs="Arial"/>
                                <w:sz w:val="24"/>
                                <w:szCs w:val="24"/>
                              </w:rPr>
                              <w:t xml:space="preserve"> previous</w:t>
                            </w:r>
                            <w:r>
                              <w:rPr>
                                <w:rFonts w:ascii="Arial" w:hAnsi="Arial" w:cs="Arial"/>
                                <w:sz w:val="24"/>
                                <w:szCs w:val="24"/>
                              </w:rPr>
                              <w:t xml:space="preserve"> Partners retired </w:t>
                            </w:r>
                            <w:r w:rsidR="002E7874">
                              <w:rPr>
                                <w:rFonts w:ascii="Arial" w:hAnsi="Arial" w:cs="Arial"/>
                                <w:sz w:val="24"/>
                                <w:szCs w:val="24"/>
                              </w:rPr>
                              <w:t>and some of the long standing salaried GP’s</w:t>
                            </w:r>
                            <w:r w:rsidR="00513436">
                              <w:rPr>
                                <w:rFonts w:ascii="Arial" w:hAnsi="Arial" w:cs="Arial"/>
                                <w:sz w:val="24"/>
                                <w:szCs w:val="24"/>
                              </w:rPr>
                              <w:t xml:space="preserve"> left</w:t>
                            </w:r>
                            <w:r w:rsidR="002E7874">
                              <w:rPr>
                                <w:rFonts w:ascii="Arial" w:hAnsi="Arial" w:cs="Arial"/>
                                <w:sz w:val="24"/>
                                <w:szCs w:val="24"/>
                              </w:rPr>
                              <w:t>. We recruited 3 out of 5 new Partners.</w:t>
                            </w:r>
                          </w:p>
                          <w:p w:rsidR="002E7874" w:rsidRDefault="002E7874" w:rsidP="006C4CD0">
                            <w:pPr>
                              <w:pStyle w:val="ListParagraph"/>
                              <w:numPr>
                                <w:ilvl w:val="0"/>
                                <w:numId w:val="3"/>
                              </w:numPr>
                              <w:tabs>
                                <w:tab w:val="left" w:pos="142"/>
                              </w:tabs>
                              <w:autoSpaceDE w:val="0"/>
                              <w:autoSpaceDN w:val="0"/>
                              <w:adjustRightInd w:val="0"/>
                              <w:spacing w:line="240" w:lineRule="auto"/>
                              <w:rPr>
                                <w:rFonts w:ascii="Arial" w:hAnsi="Arial" w:cs="Arial"/>
                                <w:sz w:val="24"/>
                                <w:szCs w:val="24"/>
                              </w:rPr>
                            </w:pPr>
                            <w:r>
                              <w:rPr>
                                <w:rFonts w:ascii="Arial" w:hAnsi="Arial" w:cs="Arial"/>
                                <w:sz w:val="24"/>
                                <w:szCs w:val="24"/>
                              </w:rPr>
                              <w:t xml:space="preserve">Patients were not aware of the PPG and what it is/does – we have put a sentence in our leaflets promoting the PPG and also the PPG themselves have done a lot of </w:t>
                            </w:r>
                            <w:proofErr w:type="spellStart"/>
                            <w:r>
                              <w:rPr>
                                <w:rFonts w:ascii="Arial" w:hAnsi="Arial" w:cs="Arial"/>
                                <w:sz w:val="24"/>
                                <w:szCs w:val="24"/>
                              </w:rPr>
                              <w:t>self promotion</w:t>
                            </w:r>
                            <w:proofErr w:type="spellEnd"/>
                            <w:r>
                              <w:rPr>
                                <w:rFonts w:ascii="Arial" w:hAnsi="Arial" w:cs="Arial"/>
                                <w:sz w:val="24"/>
                                <w:szCs w:val="24"/>
                              </w:rPr>
                              <w:t xml:space="preserve"> within the practice as well as advertising with </w:t>
                            </w:r>
                            <w:proofErr w:type="spellStart"/>
                            <w:r>
                              <w:rPr>
                                <w:rFonts w:ascii="Arial" w:hAnsi="Arial" w:cs="Arial"/>
                                <w:sz w:val="24"/>
                                <w:szCs w:val="24"/>
                              </w:rPr>
                              <w:t>posters,</w:t>
                            </w:r>
                            <w:r w:rsidR="00513436">
                              <w:rPr>
                                <w:rFonts w:ascii="Arial" w:hAnsi="Arial" w:cs="Arial"/>
                                <w:sz w:val="24"/>
                                <w:szCs w:val="24"/>
                              </w:rPr>
                              <w:t>and</w:t>
                            </w:r>
                            <w:proofErr w:type="spellEnd"/>
                            <w:r>
                              <w:rPr>
                                <w:rFonts w:ascii="Arial" w:hAnsi="Arial" w:cs="Arial"/>
                                <w:sz w:val="24"/>
                                <w:szCs w:val="24"/>
                              </w:rPr>
                              <w:t xml:space="preserve"> on the back of prescriptions </w:t>
                            </w:r>
                            <w:proofErr w:type="spellStart"/>
                            <w:r>
                              <w:rPr>
                                <w:rFonts w:ascii="Arial" w:hAnsi="Arial" w:cs="Arial"/>
                                <w:sz w:val="24"/>
                                <w:szCs w:val="24"/>
                              </w:rPr>
                              <w:t>etc</w:t>
                            </w:r>
                            <w:proofErr w:type="spellEnd"/>
                          </w:p>
                          <w:p w:rsidR="002E7874" w:rsidRDefault="002E7874" w:rsidP="006C4CD0">
                            <w:pPr>
                              <w:pStyle w:val="ListParagraph"/>
                              <w:numPr>
                                <w:ilvl w:val="0"/>
                                <w:numId w:val="3"/>
                              </w:numPr>
                              <w:tabs>
                                <w:tab w:val="left" w:pos="142"/>
                              </w:tabs>
                              <w:autoSpaceDE w:val="0"/>
                              <w:autoSpaceDN w:val="0"/>
                              <w:adjustRightInd w:val="0"/>
                              <w:spacing w:line="240" w:lineRule="auto"/>
                              <w:rPr>
                                <w:rFonts w:ascii="Arial" w:hAnsi="Arial" w:cs="Arial"/>
                                <w:sz w:val="24"/>
                                <w:szCs w:val="24"/>
                              </w:rPr>
                            </w:pPr>
                            <w:r>
                              <w:rPr>
                                <w:rFonts w:ascii="Arial" w:hAnsi="Arial" w:cs="Arial"/>
                                <w:sz w:val="24"/>
                                <w:szCs w:val="24"/>
                              </w:rPr>
                              <w:t>Patients requested they wanted to know more about their Chronic Diseases – we held an education event on Diabetes and also have 2 more trained Nurses who have completed the Warwick Course as well as 2 GP’s in the practice taking on responsibility and working/educating these cohort of patients.</w:t>
                            </w:r>
                          </w:p>
                          <w:p w:rsidR="002E7874" w:rsidRPr="006C4CD0" w:rsidRDefault="002E7874" w:rsidP="006C4CD0">
                            <w:pPr>
                              <w:pStyle w:val="ListParagraph"/>
                              <w:numPr>
                                <w:ilvl w:val="0"/>
                                <w:numId w:val="3"/>
                              </w:numPr>
                              <w:tabs>
                                <w:tab w:val="left" w:pos="142"/>
                              </w:tabs>
                              <w:autoSpaceDE w:val="0"/>
                              <w:autoSpaceDN w:val="0"/>
                              <w:adjustRightInd w:val="0"/>
                              <w:spacing w:line="240" w:lineRule="auto"/>
                              <w:rPr>
                                <w:rFonts w:ascii="Arial" w:hAnsi="Arial" w:cs="Arial"/>
                                <w:sz w:val="24"/>
                                <w:szCs w:val="24"/>
                              </w:rPr>
                            </w:pPr>
                            <w:r>
                              <w:rPr>
                                <w:rFonts w:ascii="Arial" w:hAnsi="Arial" w:cs="Arial"/>
                                <w:sz w:val="24"/>
                                <w:szCs w:val="24"/>
                              </w:rPr>
                              <w:t>Patients are more aware and are participating in more local schemes such as the Minor Ailment Scheme and we have also had 2 members of the CCG in the practice for a period of 6 weeks talking to patients, in particular parents with young children advising them of what they should have as a first aid kit and advising them of the different services and when and how to use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B418E">
                        <w:rPr>
                          <w:rFonts w:ascii="Arial" w:hAnsi="Arial" w:cs="Arial"/>
                          <w:sz w:val="24"/>
                          <w:szCs w:val="24"/>
                          <w:highlight w:val="yellow"/>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A75AE8" w:rsidRDefault="002B418E" w:rsidP="006C4CD0">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6C4CD0" w:rsidRDefault="006C4CD0" w:rsidP="006C4CD0">
                      <w:pPr>
                        <w:pStyle w:val="ListParagraph"/>
                        <w:tabs>
                          <w:tab w:val="left" w:pos="142"/>
                        </w:tabs>
                        <w:autoSpaceDE w:val="0"/>
                        <w:autoSpaceDN w:val="0"/>
                        <w:adjustRightInd w:val="0"/>
                        <w:spacing w:line="240" w:lineRule="auto"/>
                        <w:ind w:left="0"/>
                        <w:rPr>
                          <w:rFonts w:ascii="Arial" w:hAnsi="Arial" w:cs="Arial"/>
                          <w:sz w:val="24"/>
                          <w:szCs w:val="24"/>
                        </w:rPr>
                      </w:pPr>
                    </w:p>
                    <w:p w:rsidR="006C4CD0" w:rsidRDefault="006C4CD0" w:rsidP="006C4CD0">
                      <w:pPr>
                        <w:pStyle w:val="ListParagraph"/>
                        <w:numPr>
                          <w:ilvl w:val="0"/>
                          <w:numId w:val="3"/>
                        </w:numPr>
                        <w:tabs>
                          <w:tab w:val="left" w:pos="142"/>
                        </w:tabs>
                        <w:autoSpaceDE w:val="0"/>
                        <w:autoSpaceDN w:val="0"/>
                        <w:adjustRightInd w:val="0"/>
                        <w:spacing w:line="240" w:lineRule="auto"/>
                        <w:rPr>
                          <w:rFonts w:ascii="Arial" w:hAnsi="Arial" w:cs="Arial"/>
                          <w:sz w:val="24"/>
                          <w:szCs w:val="24"/>
                        </w:rPr>
                      </w:pPr>
                      <w:r>
                        <w:rPr>
                          <w:rFonts w:ascii="Arial" w:hAnsi="Arial" w:cs="Arial"/>
                          <w:sz w:val="24"/>
                          <w:szCs w:val="24"/>
                        </w:rPr>
                        <w:t>The patients are now fully conversant with the Partners in the practice – this became a problem when some of the</w:t>
                      </w:r>
                      <w:r w:rsidR="002E7874">
                        <w:rPr>
                          <w:rFonts w:ascii="Arial" w:hAnsi="Arial" w:cs="Arial"/>
                          <w:sz w:val="24"/>
                          <w:szCs w:val="24"/>
                        </w:rPr>
                        <w:t xml:space="preserve"> previous</w:t>
                      </w:r>
                      <w:r>
                        <w:rPr>
                          <w:rFonts w:ascii="Arial" w:hAnsi="Arial" w:cs="Arial"/>
                          <w:sz w:val="24"/>
                          <w:szCs w:val="24"/>
                        </w:rPr>
                        <w:t xml:space="preserve"> Partners retired </w:t>
                      </w:r>
                      <w:r w:rsidR="002E7874">
                        <w:rPr>
                          <w:rFonts w:ascii="Arial" w:hAnsi="Arial" w:cs="Arial"/>
                          <w:sz w:val="24"/>
                          <w:szCs w:val="24"/>
                        </w:rPr>
                        <w:t>and some of the long standing salaried GP’s</w:t>
                      </w:r>
                      <w:r w:rsidR="00513436">
                        <w:rPr>
                          <w:rFonts w:ascii="Arial" w:hAnsi="Arial" w:cs="Arial"/>
                          <w:sz w:val="24"/>
                          <w:szCs w:val="24"/>
                        </w:rPr>
                        <w:t xml:space="preserve"> left</w:t>
                      </w:r>
                      <w:r w:rsidR="002E7874">
                        <w:rPr>
                          <w:rFonts w:ascii="Arial" w:hAnsi="Arial" w:cs="Arial"/>
                          <w:sz w:val="24"/>
                          <w:szCs w:val="24"/>
                        </w:rPr>
                        <w:t>. We recruited 3 out of 5 new Partners.</w:t>
                      </w:r>
                    </w:p>
                    <w:p w:rsidR="002E7874" w:rsidRDefault="002E7874" w:rsidP="006C4CD0">
                      <w:pPr>
                        <w:pStyle w:val="ListParagraph"/>
                        <w:numPr>
                          <w:ilvl w:val="0"/>
                          <w:numId w:val="3"/>
                        </w:numPr>
                        <w:tabs>
                          <w:tab w:val="left" w:pos="142"/>
                        </w:tabs>
                        <w:autoSpaceDE w:val="0"/>
                        <w:autoSpaceDN w:val="0"/>
                        <w:adjustRightInd w:val="0"/>
                        <w:spacing w:line="240" w:lineRule="auto"/>
                        <w:rPr>
                          <w:rFonts w:ascii="Arial" w:hAnsi="Arial" w:cs="Arial"/>
                          <w:sz w:val="24"/>
                          <w:szCs w:val="24"/>
                        </w:rPr>
                      </w:pPr>
                      <w:r>
                        <w:rPr>
                          <w:rFonts w:ascii="Arial" w:hAnsi="Arial" w:cs="Arial"/>
                          <w:sz w:val="24"/>
                          <w:szCs w:val="24"/>
                        </w:rPr>
                        <w:t>Patients were not aware of the PPG and what it is/does – we have put a sentence in our leaflets promoting the PPG and also the PPG themselves have done a lot of self promotion within the practice as well as advertising with posters,</w:t>
                      </w:r>
                      <w:r w:rsidR="00513436">
                        <w:rPr>
                          <w:rFonts w:ascii="Arial" w:hAnsi="Arial" w:cs="Arial"/>
                          <w:sz w:val="24"/>
                          <w:szCs w:val="24"/>
                        </w:rPr>
                        <w:t>and</w:t>
                      </w:r>
                      <w:r>
                        <w:rPr>
                          <w:rFonts w:ascii="Arial" w:hAnsi="Arial" w:cs="Arial"/>
                          <w:sz w:val="24"/>
                          <w:szCs w:val="24"/>
                        </w:rPr>
                        <w:t xml:space="preserve"> on the back of prescriptions etc</w:t>
                      </w:r>
                    </w:p>
                    <w:p w:rsidR="002E7874" w:rsidRDefault="002E7874" w:rsidP="006C4CD0">
                      <w:pPr>
                        <w:pStyle w:val="ListParagraph"/>
                        <w:numPr>
                          <w:ilvl w:val="0"/>
                          <w:numId w:val="3"/>
                        </w:numPr>
                        <w:tabs>
                          <w:tab w:val="left" w:pos="142"/>
                        </w:tabs>
                        <w:autoSpaceDE w:val="0"/>
                        <w:autoSpaceDN w:val="0"/>
                        <w:adjustRightInd w:val="0"/>
                        <w:spacing w:line="240" w:lineRule="auto"/>
                        <w:rPr>
                          <w:rFonts w:ascii="Arial" w:hAnsi="Arial" w:cs="Arial"/>
                          <w:sz w:val="24"/>
                          <w:szCs w:val="24"/>
                        </w:rPr>
                      </w:pPr>
                      <w:r>
                        <w:rPr>
                          <w:rFonts w:ascii="Arial" w:hAnsi="Arial" w:cs="Arial"/>
                          <w:sz w:val="24"/>
                          <w:szCs w:val="24"/>
                        </w:rPr>
                        <w:t>Patients requested they wanted to know more about their Chronic Diseases – we held an education event on Diabetes and also have 2 more trained Nurses who have completed the Warwick Course as well as 2 GP’s in the practice taking on responsibility and working/educating these cohort of patients.</w:t>
                      </w:r>
                    </w:p>
                    <w:p w:rsidR="002E7874" w:rsidRPr="006C4CD0" w:rsidRDefault="002E7874" w:rsidP="006C4CD0">
                      <w:pPr>
                        <w:pStyle w:val="ListParagraph"/>
                        <w:numPr>
                          <w:ilvl w:val="0"/>
                          <w:numId w:val="3"/>
                        </w:numPr>
                        <w:tabs>
                          <w:tab w:val="left" w:pos="142"/>
                        </w:tabs>
                        <w:autoSpaceDE w:val="0"/>
                        <w:autoSpaceDN w:val="0"/>
                        <w:adjustRightInd w:val="0"/>
                        <w:spacing w:line="240" w:lineRule="auto"/>
                        <w:rPr>
                          <w:rFonts w:ascii="Arial" w:hAnsi="Arial" w:cs="Arial"/>
                          <w:sz w:val="24"/>
                          <w:szCs w:val="24"/>
                        </w:rPr>
                      </w:pPr>
                      <w:r>
                        <w:rPr>
                          <w:rFonts w:ascii="Arial" w:hAnsi="Arial" w:cs="Arial"/>
                          <w:sz w:val="24"/>
                          <w:szCs w:val="24"/>
                        </w:rPr>
                        <w:t>Patients are more aware and are participating in more local schemes such as the Minor Ailment Scheme and we have also had 2 members of the CCG in the practice for a period of 6 weeks talking to patients, in particular parents with young children advising them of what they should have as a first aid kit and advising them of the different services and when and how to use them</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p>
          <w:p w:rsidR="002B418E" w:rsidRDefault="002B418E" w:rsidP="00A243E1">
            <w:pPr>
              <w:pStyle w:val="Default"/>
              <w:tabs>
                <w:tab w:val="left" w:pos="142"/>
              </w:tabs>
              <w:rPr>
                <w:rFonts w:ascii="Arial" w:hAnsi="Arial" w:cs="Arial"/>
                <w:sz w:val="24"/>
              </w:rPr>
            </w:pPr>
          </w:p>
          <w:p w:rsidR="00A75AE8" w:rsidRPr="002649FE" w:rsidRDefault="0021684C" w:rsidP="00A243E1">
            <w:pPr>
              <w:pStyle w:val="Default"/>
              <w:tabs>
                <w:tab w:val="left" w:pos="142"/>
              </w:tabs>
              <w:rPr>
                <w:rFonts w:ascii="Arial" w:hAnsi="Arial" w:cs="Arial"/>
                <w:sz w:val="24"/>
              </w:rPr>
            </w:pPr>
            <w:r>
              <w:rPr>
                <w:rFonts w:ascii="Arial" w:hAnsi="Arial" w:cs="Arial"/>
                <w:sz w:val="24"/>
                <w:highlight w:val="yellow"/>
              </w:rPr>
              <w:t>YES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DC14BF">
              <w:rPr>
                <w:rFonts w:ascii="Arial" w:hAnsi="Arial" w:cs="Arial"/>
                <w:sz w:val="24"/>
              </w:rPr>
              <w:t xml:space="preserve">   20.03.</w:t>
            </w:r>
            <w:r w:rsidR="0021684C">
              <w:rPr>
                <w:rFonts w:ascii="Arial" w:hAnsi="Arial" w:cs="Arial"/>
                <w:sz w:val="24"/>
              </w:rPr>
              <w:t>2015</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511CF4" w:rsidRPr="002649FE" w:rsidRDefault="009152DA" w:rsidP="00511CF4">
      <w:pPr>
        <w:tabs>
          <w:tab w:val="left" w:pos="142"/>
        </w:tabs>
        <w:jc w:val="center"/>
        <w:rPr>
          <w:rFonts w:ascii="Arial" w:hAnsi="Arial" w:cs="Arial"/>
          <w:sz w:val="24"/>
          <w:szCs w:val="24"/>
        </w:rPr>
      </w:pPr>
      <w:r>
        <w:rPr>
          <w:rFonts w:ascii="Arial" w:hAnsi="Arial" w:cs="Arial"/>
          <w:sz w:val="24"/>
          <w:szCs w:val="24"/>
        </w:rPr>
        <w:t>Complete and return</w:t>
      </w:r>
      <w:r w:rsidRPr="009152DA">
        <w:rPr>
          <w:rFonts w:ascii="Arial" w:hAnsi="Arial" w:cs="Arial"/>
          <w:sz w:val="24"/>
          <w:szCs w:val="24"/>
        </w:rPr>
        <w:t xml:space="preserve"> to:</w:t>
      </w:r>
      <w:r>
        <w:rPr>
          <w:rFonts w:ascii="Arial" w:hAnsi="Arial" w:cs="Arial"/>
          <w:sz w:val="24"/>
          <w:szCs w:val="24"/>
        </w:rPr>
        <w:t xml:space="preserve"> </w:t>
      </w:r>
      <w:hyperlink r:id="rId12" w:history="1">
        <w:r w:rsidRPr="009152DA">
          <w:rPr>
            <w:rStyle w:val="Hyperlink"/>
            <w:sz w:val="24"/>
            <w:szCs w:val="24"/>
          </w:rPr>
          <w:t>england.lon-nw-claims@nhs.net</w:t>
        </w:r>
      </w:hyperlink>
      <w:r>
        <w:rPr>
          <w:b/>
          <w:bCs/>
        </w:rPr>
        <w:t xml:space="preserve"> </w:t>
      </w:r>
      <w:r w:rsidR="00511CF4">
        <w:rPr>
          <w:rFonts w:ascii="Arial" w:hAnsi="Arial" w:cs="Arial"/>
          <w:sz w:val="24"/>
          <w:szCs w:val="24"/>
        </w:rPr>
        <w:t>by no later than 31 March 2015</w:t>
      </w:r>
    </w:p>
    <w:p w:rsidR="00A64080" w:rsidRPr="002649FE" w:rsidRDefault="00A64080">
      <w:pPr>
        <w:rPr>
          <w:rFonts w:ascii="Arial" w:hAnsi="Arial" w:cs="Arial"/>
        </w:rPr>
      </w:pPr>
    </w:p>
    <w:sectPr w:rsidR="00A64080" w:rsidRPr="002649FE" w:rsidSect="00A75AE8">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2DC" w:rsidRDefault="006B32DC" w:rsidP="00511CF4">
      <w:pPr>
        <w:spacing w:line="240" w:lineRule="auto"/>
      </w:pPr>
      <w:r>
        <w:separator/>
      </w:r>
    </w:p>
  </w:endnote>
  <w:endnote w:type="continuationSeparator" w:id="0">
    <w:p w:rsidR="006B32DC" w:rsidRDefault="006B32DC"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C14B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14BF">
              <w:rPr>
                <w:b/>
                <w:bCs/>
                <w:noProof/>
              </w:rPr>
              <w:t>10</w:t>
            </w:r>
            <w:r>
              <w:rPr>
                <w:b/>
                <w:bCs/>
                <w:sz w:val="24"/>
                <w:szCs w:val="24"/>
              </w:rPr>
              <w:fldChar w:fldCharType="end"/>
            </w:r>
          </w:p>
        </w:sdtContent>
      </w:sdt>
    </w:sdtContent>
  </w:sdt>
  <w:p w:rsidR="00511CF4" w:rsidRDefault="005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2DC" w:rsidRDefault="006B32DC" w:rsidP="00511CF4">
      <w:pPr>
        <w:spacing w:line="240" w:lineRule="auto"/>
      </w:pPr>
      <w:r>
        <w:separator/>
      </w:r>
    </w:p>
  </w:footnote>
  <w:footnote w:type="continuationSeparator" w:id="0">
    <w:p w:rsidR="006B32DC" w:rsidRDefault="006B32DC"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Pr="00511CF4">
      <w:rPr>
        <w:b/>
        <w:sz w:val="28"/>
        <w:szCs w:val="28"/>
        <w:u w:val="single"/>
      </w:rPr>
      <w:t xml:space="preserve"> 2014/15 Annex D: Standard Reporting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5E591C"/>
    <w:multiLevelType w:val="hybridMultilevel"/>
    <w:tmpl w:val="B84E1874"/>
    <w:lvl w:ilvl="0" w:tplc="016020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E57"/>
    <w:rsid w:val="0015021D"/>
    <w:rsid w:val="00175BFA"/>
    <w:rsid w:val="0021684C"/>
    <w:rsid w:val="00261BC5"/>
    <w:rsid w:val="002649FE"/>
    <w:rsid w:val="002B418E"/>
    <w:rsid w:val="002B6768"/>
    <w:rsid w:val="002C6552"/>
    <w:rsid w:val="002E7874"/>
    <w:rsid w:val="00333651"/>
    <w:rsid w:val="003C2FB2"/>
    <w:rsid w:val="003E33D7"/>
    <w:rsid w:val="00511CF4"/>
    <w:rsid w:val="00513436"/>
    <w:rsid w:val="00553DAD"/>
    <w:rsid w:val="006B32DC"/>
    <w:rsid w:val="006C4CD0"/>
    <w:rsid w:val="006E7E8E"/>
    <w:rsid w:val="007E7356"/>
    <w:rsid w:val="00820BFD"/>
    <w:rsid w:val="00902C10"/>
    <w:rsid w:val="009152DA"/>
    <w:rsid w:val="00933ED6"/>
    <w:rsid w:val="009E1163"/>
    <w:rsid w:val="00A50E4C"/>
    <w:rsid w:val="00A64080"/>
    <w:rsid w:val="00A64112"/>
    <w:rsid w:val="00A75AE8"/>
    <w:rsid w:val="00AE4E47"/>
    <w:rsid w:val="00B65362"/>
    <w:rsid w:val="00C44FFB"/>
    <w:rsid w:val="00C54538"/>
    <w:rsid w:val="00DC14BF"/>
    <w:rsid w:val="00DD674D"/>
    <w:rsid w:val="00E9001D"/>
    <w:rsid w:val="00EA5FC5"/>
    <w:rsid w:val="00F040A6"/>
    <w:rsid w:val="00FF2686"/>
    <w:rsid w:val="00FF4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semiHidden/>
    <w:unhideWhenUsed/>
    <w:qFormat/>
    <w:rsid w:val="009152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semiHidden/>
    <w:unhideWhenUsed/>
    <w:qFormat/>
    <w:rsid w:val="00915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lon-nw-claim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gland.lon-nw-claim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elements/1.1/"/>
    <ds:schemaRef ds:uri="http://purl.org/dc/dcmitype/"/>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Jawad Zelamal</cp:lastModifiedBy>
  <cp:revision>3</cp:revision>
  <cp:lastPrinted>2015-03-17T18:13:00Z</cp:lastPrinted>
  <dcterms:created xsi:type="dcterms:W3CDTF">2015-03-20T13:05:00Z</dcterms:created>
  <dcterms:modified xsi:type="dcterms:W3CDTF">2015-03-20T13:09:00Z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